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84D" w:rsidRDefault="00A12660">
      <w:pPr>
        <w:pStyle w:val="Ttulo1"/>
      </w:pPr>
      <w:r>
        <w:t>Acta</w:t>
      </w:r>
      <w:r>
        <w:rPr>
          <w:spacing w:val="-3"/>
        </w:rPr>
        <w:t xml:space="preserve"> </w:t>
      </w:r>
      <w:r>
        <w:t>del</w:t>
      </w:r>
      <w:r>
        <w:rPr>
          <w:spacing w:val="-3"/>
        </w:rPr>
        <w:t xml:space="preserve"> </w:t>
      </w:r>
      <w:r>
        <w:rPr>
          <w:spacing w:val="-2"/>
        </w:rPr>
        <w:t>Jurado</w:t>
      </w:r>
    </w:p>
    <w:p w:rsidR="00381224" w:rsidRDefault="00381224">
      <w:pPr>
        <w:spacing w:before="1"/>
        <w:ind w:left="56" w:right="55"/>
        <w:jc w:val="center"/>
        <w:rPr>
          <w:b/>
          <w:sz w:val="24"/>
        </w:rPr>
      </w:pPr>
    </w:p>
    <w:p w:rsidR="00381224" w:rsidRDefault="00381224">
      <w:pPr>
        <w:spacing w:before="1"/>
        <w:ind w:left="56" w:right="55"/>
        <w:jc w:val="center"/>
        <w:rPr>
          <w:b/>
          <w:sz w:val="24"/>
        </w:rPr>
      </w:pPr>
      <w:r w:rsidRPr="00381224">
        <w:rPr>
          <w:b/>
          <w:sz w:val="24"/>
        </w:rPr>
        <w:t xml:space="preserve">Concurso de Reportajes Investigativos «Contra la impunidad: nuestra memoria y nuestra voz», </w:t>
      </w:r>
      <w:r>
        <w:rPr>
          <w:b/>
          <w:sz w:val="24"/>
        </w:rPr>
        <w:t xml:space="preserve">organizado por IDEA, </w:t>
      </w:r>
      <w:r w:rsidRPr="00381224">
        <w:rPr>
          <w:b/>
          <w:sz w:val="24"/>
        </w:rPr>
        <w:t xml:space="preserve">apoyado por la Mesa para la Seguridad de Periodistas y </w:t>
      </w:r>
      <w:r>
        <w:rPr>
          <w:b/>
          <w:sz w:val="24"/>
        </w:rPr>
        <w:t xml:space="preserve">la </w:t>
      </w:r>
      <w:r w:rsidRPr="00381224">
        <w:rPr>
          <w:b/>
          <w:sz w:val="24"/>
        </w:rPr>
        <w:t>UNESCO.</w:t>
      </w:r>
    </w:p>
    <w:p w:rsidR="003E684D" w:rsidRDefault="003E684D">
      <w:pPr>
        <w:pStyle w:val="Textoindependiente"/>
        <w:spacing w:before="43"/>
        <w:rPr>
          <w:b/>
        </w:rPr>
      </w:pPr>
    </w:p>
    <w:p w:rsidR="00A12660" w:rsidRDefault="00A12660">
      <w:pPr>
        <w:pStyle w:val="Textoindependiente"/>
        <w:spacing w:before="43"/>
        <w:rPr>
          <w:b/>
        </w:rPr>
      </w:pPr>
    </w:p>
    <w:p w:rsidR="003E684D" w:rsidRDefault="00A12660">
      <w:pPr>
        <w:pStyle w:val="Textoindependiente"/>
        <w:spacing w:line="259" w:lineRule="auto"/>
        <w:ind w:left="2" w:right="65"/>
      </w:pPr>
      <w:r>
        <w:t xml:space="preserve">En la ciudad de </w:t>
      </w:r>
      <w:proofErr w:type="spellStart"/>
      <w:r>
        <w:t>Atyrá</w:t>
      </w:r>
      <w:proofErr w:type="spellEnd"/>
      <w:r>
        <w:t xml:space="preserve">, República del Paraguay, a los </w:t>
      </w:r>
      <w:r w:rsidR="00381224">
        <w:t>24</w:t>
      </w:r>
      <w:r>
        <w:t xml:space="preserve"> días del mes de </w:t>
      </w:r>
      <w:r w:rsidR="00381224">
        <w:t>mayo</w:t>
      </w:r>
      <w:r>
        <w:t xml:space="preserve"> del año</w:t>
      </w:r>
      <w:r>
        <w:rPr>
          <w:spacing w:val="-3"/>
        </w:rPr>
        <w:t xml:space="preserve"> </w:t>
      </w:r>
      <w:r>
        <w:t>202</w:t>
      </w:r>
      <w:r w:rsidR="00381224">
        <w:t>6</w:t>
      </w:r>
      <w:r>
        <w:t>,</w:t>
      </w:r>
      <w:r>
        <w:rPr>
          <w:spacing w:val="-1"/>
        </w:rPr>
        <w:t xml:space="preserve"> </w:t>
      </w:r>
      <w:r>
        <w:t>en</w:t>
      </w:r>
      <w:r>
        <w:rPr>
          <w:spacing w:val="-2"/>
        </w:rPr>
        <w:t xml:space="preserve"> </w:t>
      </w:r>
      <w:r>
        <w:t>mi</w:t>
      </w:r>
      <w:r>
        <w:rPr>
          <w:spacing w:val="-1"/>
        </w:rPr>
        <w:t xml:space="preserve"> </w:t>
      </w:r>
      <w:r>
        <w:t>carácter</w:t>
      </w:r>
      <w:r>
        <w:rPr>
          <w:spacing w:val="-2"/>
        </w:rPr>
        <w:t xml:space="preserve"> </w:t>
      </w:r>
      <w:r>
        <w:t>de</w:t>
      </w:r>
      <w:r>
        <w:rPr>
          <w:spacing w:val="-1"/>
        </w:rPr>
        <w:t xml:space="preserve"> </w:t>
      </w:r>
      <w:r>
        <w:t>jurado</w:t>
      </w:r>
      <w:r>
        <w:rPr>
          <w:spacing w:val="-3"/>
        </w:rPr>
        <w:t xml:space="preserve"> </w:t>
      </w:r>
      <w:r>
        <w:t>del</w:t>
      </w:r>
      <w:r>
        <w:rPr>
          <w:spacing w:val="-2"/>
        </w:rPr>
        <w:t xml:space="preserve"> </w:t>
      </w:r>
      <w:r>
        <w:t>Concurso</w:t>
      </w:r>
      <w:r>
        <w:rPr>
          <w:spacing w:val="-3"/>
        </w:rPr>
        <w:t xml:space="preserve"> </w:t>
      </w:r>
      <w:r w:rsidR="00381224" w:rsidRPr="00381224">
        <w:t>de Reportajes Investigativos «Contra la impunidad: nuestra memoria y nuestra voz», organizado por IDEA, apoyado por la Mesa para la Seguridad de Periodistas y la UNESCO</w:t>
      </w:r>
      <w:r w:rsidR="00381224">
        <w:t xml:space="preserve">, </w:t>
      </w:r>
      <w:r>
        <w:t xml:space="preserve">tras haber </w:t>
      </w:r>
      <w:r w:rsidR="00927D59">
        <w:t>leíd</w:t>
      </w:r>
      <w:r>
        <w:t>o y evaluado los distintos materiales presentados por los participantes, consignados en correos inscriptos en la planilla digital habilitada por los organizadores, he procedido a determinar lo siguiente:</w:t>
      </w:r>
    </w:p>
    <w:p w:rsidR="003E684D" w:rsidRDefault="003E684D">
      <w:pPr>
        <w:pStyle w:val="Textoindependiente"/>
        <w:spacing w:before="18"/>
      </w:pPr>
    </w:p>
    <w:p w:rsidR="00CB01EC" w:rsidRPr="00D75852" w:rsidRDefault="00A12660" w:rsidP="0057300B">
      <w:pPr>
        <w:pStyle w:val="Textoindependiente"/>
        <w:spacing w:line="259" w:lineRule="auto"/>
        <w:ind w:left="2" w:right="65"/>
      </w:pPr>
      <w:r>
        <w:t xml:space="preserve">1.- Conceder el </w:t>
      </w:r>
      <w:r>
        <w:rPr>
          <w:b/>
        </w:rPr>
        <w:t xml:space="preserve">primer premio </w:t>
      </w:r>
      <w:r>
        <w:t xml:space="preserve">al </w:t>
      </w:r>
      <w:r w:rsidR="00E95BDD">
        <w:t xml:space="preserve">reportaje </w:t>
      </w:r>
      <w:r w:rsidR="00D75852">
        <w:t>“</w:t>
      </w:r>
      <w:r w:rsidR="00E95BDD" w:rsidRPr="00965EE1">
        <w:rPr>
          <w:b/>
          <w:i/>
        </w:rPr>
        <w:t>La cinta blanca que selló el</w:t>
      </w:r>
      <w:r w:rsidR="00D75852" w:rsidRPr="00965EE1">
        <w:rPr>
          <w:b/>
          <w:i/>
        </w:rPr>
        <w:t xml:space="preserve"> </w:t>
      </w:r>
      <w:r w:rsidR="00E95BDD" w:rsidRPr="00965EE1">
        <w:rPr>
          <w:b/>
          <w:i/>
        </w:rPr>
        <w:t xml:space="preserve">asesinato de un </w:t>
      </w:r>
      <w:r w:rsidR="00927D59">
        <w:rPr>
          <w:b/>
          <w:i/>
        </w:rPr>
        <w:t>p</w:t>
      </w:r>
      <w:r w:rsidR="00E95BDD" w:rsidRPr="00965EE1">
        <w:rPr>
          <w:b/>
          <w:i/>
        </w:rPr>
        <w:t>eriodista en Paraguay</w:t>
      </w:r>
      <w:r w:rsidR="00D75852">
        <w:t xml:space="preserve">”, de autoría de </w:t>
      </w:r>
      <w:r w:rsidR="00E95BDD" w:rsidRPr="00D75852">
        <w:rPr>
          <w:b/>
        </w:rPr>
        <w:t xml:space="preserve">Fátima Garay </w:t>
      </w:r>
      <w:proofErr w:type="spellStart"/>
      <w:r w:rsidR="00E95BDD" w:rsidRPr="00D75852">
        <w:rPr>
          <w:b/>
        </w:rPr>
        <w:t>Ullón</w:t>
      </w:r>
      <w:proofErr w:type="spellEnd"/>
      <w:r w:rsidR="00927D59">
        <w:t xml:space="preserve">. Se trata de un trabajo escrito con muy buen estilo narrativo, </w:t>
      </w:r>
      <w:r w:rsidR="001D7C54">
        <w:t>elaborado con rigurosos datos investigativos, que reconstruye minuciosamente el caso del periodista Leo Veras, asesinado por sicarios en la frontera de Pedro Juan Caballero</w:t>
      </w:r>
      <w:r w:rsidR="0057300B">
        <w:t xml:space="preserve"> en febrero de 2020</w:t>
      </w:r>
      <w:r w:rsidR="001D7C54">
        <w:t>, revelando la estructura criminal que hasta ahora ha cobrado la vida de 22 comunicadores, ante la inacción o la complicidad del sistema judicial y político en el país. El reportaje se centra con mucho simbolismo en la cinta blanca que los ejecutores dejaron sobre la boca del periodista, tras ajusticiarlo, mostrando la intención de acallar la misión de la prensa</w:t>
      </w:r>
      <w:r w:rsidR="0057300B">
        <w:t xml:space="preserve">, pero enfatiza la necesidad de no rendirse ante el terror de la narco-política: </w:t>
      </w:r>
      <w:r w:rsidR="0057300B" w:rsidRPr="00D929BE">
        <w:rPr>
          <w:i/>
        </w:rPr>
        <w:t>“</w:t>
      </w:r>
      <w:r w:rsidR="0057300B" w:rsidRPr="00D929BE">
        <w:rPr>
          <w:i/>
        </w:rPr>
        <w:t>La prensa es la última trinchera contra el crimen, la impunidad y la corrupción. Callar es rendirse y contar la verdad, aunque cueste la vida de un periodista, es mantener viva la democracia</w:t>
      </w:r>
      <w:r w:rsidR="0057300B">
        <w:t>”.</w:t>
      </w:r>
    </w:p>
    <w:p w:rsidR="003E684D" w:rsidRDefault="003E684D">
      <w:pPr>
        <w:pStyle w:val="Textoindependiente"/>
        <w:spacing w:before="20"/>
      </w:pPr>
    </w:p>
    <w:p w:rsidR="000628F2" w:rsidRDefault="00A12660" w:rsidP="000628F2">
      <w:pPr>
        <w:pStyle w:val="Textoindependiente"/>
        <w:spacing w:line="259" w:lineRule="auto"/>
        <w:ind w:right="65"/>
      </w:pPr>
      <w:r>
        <w:t xml:space="preserve">2.- Conceder el </w:t>
      </w:r>
      <w:r>
        <w:rPr>
          <w:b/>
        </w:rPr>
        <w:t xml:space="preserve">segundo premio </w:t>
      </w:r>
      <w:r>
        <w:t xml:space="preserve">al </w:t>
      </w:r>
      <w:r w:rsidR="00965EE1">
        <w:t>reportaje</w:t>
      </w:r>
      <w:r>
        <w:t xml:space="preserve"> </w:t>
      </w:r>
      <w:r w:rsidR="000628F2" w:rsidRPr="00965EE1">
        <w:rPr>
          <w:b/>
          <w:i/>
        </w:rPr>
        <w:t>“El encubrimiento de asesinatos de mujeres periodistas bajo la etiqueta de ‘crimen pasional’ como herramienta de manipulación en la prensa”</w:t>
      </w:r>
      <w:r w:rsidR="000628F2">
        <w:t xml:space="preserve">, de autoría de </w:t>
      </w:r>
      <w:r w:rsidR="000628F2" w:rsidRPr="00965EE1">
        <w:rPr>
          <w:b/>
        </w:rPr>
        <w:t>Marisol Fernández Recalde</w:t>
      </w:r>
      <w:r w:rsidR="000628F2">
        <w:t>.</w:t>
      </w:r>
      <w:r w:rsidR="00D929BE">
        <w:t xml:space="preserve"> El material </w:t>
      </w:r>
      <w:r w:rsidR="00D03048">
        <w:t>revela</w:t>
      </w:r>
      <w:r w:rsidR="00D929BE">
        <w:t xml:space="preserve"> </w:t>
      </w:r>
      <w:r w:rsidR="0020538B">
        <w:t xml:space="preserve">con </w:t>
      </w:r>
      <w:r w:rsidR="00D03048">
        <w:t>un enfoque crítico la manera que se encaran los casos de las periodistas mujeres asesinadas, a diferencia de los hechos de las víctimas masculinas, presentando los hechos como presuntas situaciones de crimen pasional, reforzando la invisibilidad y la impunidad. Se trata de un abordaje novedoso, que ayuda a revalorizar sus personalidades.</w:t>
      </w:r>
    </w:p>
    <w:p w:rsidR="003E684D" w:rsidRDefault="003E684D">
      <w:pPr>
        <w:pStyle w:val="Textoindependiente"/>
        <w:spacing w:before="42"/>
      </w:pPr>
    </w:p>
    <w:p w:rsidR="003E684D" w:rsidRDefault="00A12660">
      <w:pPr>
        <w:pStyle w:val="Textoindependiente"/>
        <w:spacing w:line="259" w:lineRule="auto"/>
        <w:ind w:left="2" w:right="65"/>
      </w:pPr>
      <w:r>
        <w:t>Igualmente,</w:t>
      </w:r>
      <w:r>
        <w:rPr>
          <w:spacing w:val="-3"/>
        </w:rPr>
        <w:t xml:space="preserve"> </w:t>
      </w:r>
      <w:r>
        <w:t>como</w:t>
      </w:r>
      <w:r>
        <w:rPr>
          <w:spacing w:val="-4"/>
        </w:rPr>
        <w:t xml:space="preserve"> </w:t>
      </w:r>
      <w:r>
        <w:t>jurado,</w:t>
      </w:r>
      <w:r>
        <w:rPr>
          <w:spacing w:val="-3"/>
        </w:rPr>
        <w:t xml:space="preserve"> </w:t>
      </w:r>
      <w:r>
        <w:t>decido</w:t>
      </w:r>
      <w:r>
        <w:rPr>
          <w:spacing w:val="-4"/>
        </w:rPr>
        <w:t xml:space="preserve"> </w:t>
      </w:r>
      <w:r>
        <w:t>otorgar</w:t>
      </w:r>
      <w:r>
        <w:rPr>
          <w:spacing w:val="-4"/>
        </w:rPr>
        <w:t xml:space="preserve"> </w:t>
      </w:r>
      <w:r w:rsidR="00965EE1" w:rsidRPr="00965EE1">
        <w:rPr>
          <w:b/>
          <w:spacing w:val="-4"/>
        </w:rPr>
        <w:t>(</w:t>
      </w:r>
      <w:r w:rsidR="001D0796">
        <w:rPr>
          <w:b/>
          <w:spacing w:val="-4"/>
        </w:rPr>
        <w:t>3</w:t>
      </w:r>
      <w:r w:rsidR="00965EE1" w:rsidRPr="00965EE1">
        <w:rPr>
          <w:b/>
          <w:spacing w:val="-4"/>
        </w:rPr>
        <w:t>)</w:t>
      </w:r>
      <w:r w:rsidR="00965EE1">
        <w:rPr>
          <w:spacing w:val="-4"/>
        </w:rPr>
        <w:t xml:space="preserve"> </w:t>
      </w:r>
      <w:r w:rsidR="001D0796">
        <w:rPr>
          <w:b/>
        </w:rPr>
        <w:t>tre</w:t>
      </w:r>
      <w:r>
        <w:rPr>
          <w:b/>
        </w:rPr>
        <w:t>s</w:t>
      </w:r>
      <w:r>
        <w:rPr>
          <w:b/>
          <w:spacing w:val="-2"/>
        </w:rPr>
        <w:t xml:space="preserve"> </w:t>
      </w:r>
      <w:r>
        <w:rPr>
          <w:b/>
        </w:rPr>
        <w:t>menciones</w:t>
      </w:r>
      <w:r>
        <w:rPr>
          <w:b/>
          <w:spacing w:val="-6"/>
        </w:rPr>
        <w:t xml:space="preserve"> </w:t>
      </w:r>
      <w:r>
        <w:rPr>
          <w:b/>
        </w:rPr>
        <w:t>de</w:t>
      </w:r>
      <w:r>
        <w:rPr>
          <w:b/>
          <w:spacing w:val="-5"/>
        </w:rPr>
        <w:t xml:space="preserve"> </w:t>
      </w:r>
      <w:r>
        <w:rPr>
          <w:b/>
        </w:rPr>
        <w:t>honor</w:t>
      </w:r>
      <w:r>
        <w:rPr>
          <w:b/>
          <w:spacing w:val="-5"/>
        </w:rPr>
        <w:t xml:space="preserve"> </w:t>
      </w:r>
      <w:r>
        <w:t>a</w:t>
      </w:r>
      <w:r>
        <w:rPr>
          <w:spacing w:val="-4"/>
        </w:rPr>
        <w:t xml:space="preserve"> </w:t>
      </w:r>
      <w:r>
        <w:t>los siguientes trabajos presentados:</w:t>
      </w:r>
    </w:p>
    <w:p w:rsidR="00D929BE" w:rsidRDefault="00D929BE" w:rsidP="00D929BE">
      <w:pPr>
        <w:pStyle w:val="Textoindependiente"/>
        <w:spacing w:line="259" w:lineRule="auto"/>
        <w:ind w:left="2" w:right="65"/>
      </w:pPr>
    </w:p>
    <w:p w:rsidR="00D929BE" w:rsidRDefault="00D929BE" w:rsidP="00D929BE">
      <w:pPr>
        <w:pStyle w:val="Textoindependiente"/>
        <w:spacing w:line="259" w:lineRule="auto"/>
        <w:ind w:left="2" w:right="65"/>
      </w:pPr>
      <w:r>
        <w:t xml:space="preserve"># </w:t>
      </w:r>
      <w:r>
        <w:t>“</w:t>
      </w:r>
      <w:r w:rsidRPr="00965EE1">
        <w:rPr>
          <w:b/>
          <w:i/>
        </w:rPr>
        <w:t>Violencia contra la prensa y los patrones de impunidad en Paraguay: el caso de Cándido Figueredo Ruiz</w:t>
      </w:r>
      <w:r>
        <w:t xml:space="preserve">”, de autoría de </w:t>
      </w:r>
      <w:r w:rsidRPr="00965EE1">
        <w:rPr>
          <w:b/>
        </w:rPr>
        <w:t>Griselda Noemi Lezcano Bogado</w:t>
      </w:r>
      <w:r w:rsidRPr="000628F2">
        <w:t>, que narra la lucha del periodista</w:t>
      </w:r>
      <w:r>
        <w:t xml:space="preserve"> Cándido Figueredo Ruiz, quien fue durante más de 20 años corresponsal del diario ABC Color en Amambay, amenazado innumerables veces por denunciar al crimen organizado en sus publicaciones. Con </w:t>
      </w:r>
      <w:r>
        <w:t xml:space="preserve">una elaborada narración basada en datos, </w:t>
      </w:r>
      <w:r>
        <w:lastRenderedPageBreak/>
        <w:t>la autora demuestra que el caso constituye un claro ejemplo de la peligrosidad de la labor periodística ante la desprotección del Estado.</w:t>
      </w:r>
    </w:p>
    <w:p w:rsidR="00965EE1" w:rsidRDefault="00965EE1" w:rsidP="00965EE1">
      <w:pPr>
        <w:pStyle w:val="Textoindependiente"/>
        <w:spacing w:line="259" w:lineRule="auto"/>
        <w:ind w:right="65"/>
      </w:pPr>
    </w:p>
    <w:p w:rsidR="00965EE1" w:rsidRDefault="00965EE1" w:rsidP="00965EE1">
      <w:pPr>
        <w:pStyle w:val="Textoindependiente"/>
        <w:spacing w:line="259" w:lineRule="auto"/>
        <w:ind w:right="65"/>
      </w:pPr>
      <w:r>
        <w:t xml:space="preserve"># </w:t>
      </w:r>
      <w:r w:rsidR="00FD0764">
        <w:t>“</w:t>
      </w:r>
      <w:r w:rsidR="00FD0764" w:rsidRPr="00FD0764">
        <w:rPr>
          <w:b/>
          <w:i/>
        </w:rPr>
        <w:t>El Acecho a los vigilantes de la verdad. Espionaje, poder y silencio</w:t>
      </w:r>
      <w:r w:rsidR="00FD0764">
        <w:t xml:space="preserve">”, de autoría de </w:t>
      </w:r>
      <w:r w:rsidR="00FD0764" w:rsidRPr="00FD0764">
        <w:rPr>
          <w:b/>
        </w:rPr>
        <w:t>Rocío Melgarejo Guanes</w:t>
      </w:r>
      <w:r w:rsidR="00FD0764">
        <w:t>.</w:t>
      </w:r>
      <w:r w:rsidR="00C14914">
        <w:t xml:space="preserve"> El reportaje expone con buen trabajo investigativo </w:t>
      </w:r>
      <w:r w:rsidR="00563EFA">
        <w:t xml:space="preserve">el espionaje digital desde sectores vinculados al sistema político y económico contra dos periodistas, tras haber denunciado un presunto caso de corrupción con la compra de productos sanitarios durante la pandemia.    </w:t>
      </w:r>
    </w:p>
    <w:p w:rsidR="003E684D" w:rsidRDefault="003E684D">
      <w:pPr>
        <w:pStyle w:val="Textoindependiente"/>
        <w:spacing w:before="22"/>
      </w:pPr>
    </w:p>
    <w:p w:rsidR="003E684D" w:rsidRPr="00563EFA" w:rsidRDefault="00FD0764">
      <w:pPr>
        <w:pStyle w:val="Textoindependiente"/>
        <w:spacing w:before="22"/>
      </w:pPr>
      <w:r>
        <w:t xml:space="preserve"># </w:t>
      </w:r>
      <w:r w:rsidR="00CD1D15">
        <w:t>“</w:t>
      </w:r>
      <w:r w:rsidR="00CD1D15" w:rsidRPr="00CD1D15">
        <w:rPr>
          <w:b/>
          <w:i/>
        </w:rPr>
        <w:t>La muerte material y la muerte ética</w:t>
      </w:r>
      <w:r w:rsidR="00CD1D15">
        <w:t xml:space="preserve">”, de autoría de </w:t>
      </w:r>
      <w:r w:rsidR="00CD1D15" w:rsidRPr="00CD1D15">
        <w:rPr>
          <w:b/>
        </w:rPr>
        <w:t xml:space="preserve">Facundo Mariano Duarte </w:t>
      </w:r>
      <w:proofErr w:type="spellStart"/>
      <w:r w:rsidR="00CD1D15" w:rsidRPr="00CD1D15">
        <w:rPr>
          <w:b/>
        </w:rPr>
        <w:t>Bourgeois</w:t>
      </w:r>
      <w:proofErr w:type="spellEnd"/>
      <w:r w:rsidR="00CD1D15">
        <w:rPr>
          <w:b/>
        </w:rPr>
        <w:t>.</w:t>
      </w:r>
      <w:r w:rsidR="00C14914">
        <w:rPr>
          <w:b/>
        </w:rPr>
        <w:t xml:space="preserve"> </w:t>
      </w:r>
      <w:r w:rsidR="00563EFA" w:rsidRPr="00563EFA">
        <w:t xml:space="preserve">Tomando como eje el emblemático caso del periodista Santiago Leguizamón, </w:t>
      </w:r>
      <w:r w:rsidR="00563EFA">
        <w:t>asesinado en 1991 por sicarios fronterizos en Amambay, el reportaje enfatiza en la complicidad del Estado paraguayo al no haber investigado el caso, siendo finalmente condenado 33 años después por la Corte Interamericana de Derechos Humanos, lo cual ejemplifica el alto grado de impunidad en que se encuentran la mayoría de los casos de asesinatos de periodistas.</w:t>
      </w:r>
    </w:p>
    <w:p w:rsidR="00FD0764" w:rsidRDefault="00FD0764">
      <w:pPr>
        <w:pStyle w:val="Textoindependiente"/>
        <w:spacing w:before="22"/>
      </w:pPr>
    </w:p>
    <w:p w:rsidR="003E684D" w:rsidRDefault="00A12660">
      <w:pPr>
        <w:pStyle w:val="Textoindependiente"/>
        <w:spacing w:line="256" w:lineRule="auto"/>
        <w:ind w:left="2" w:right="65"/>
      </w:pPr>
      <w:r>
        <w:t>Al</w:t>
      </w:r>
      <w:r>
        <w:rPr>
          <w:spacing w:val="-3"/>
        </w:rPr>
        <w:t xml:space="preserve"> </w:t>
      </w:r>
      <w:r>
        <w:t>destacar</w:t>
      </w:r>
      <w:r>
        <w:rPr>
          <w:spacing w:val="-3"/>
        </w:rPr>
        <w:t xml:space="preserve"> </w:t>
      </w:r>
      <w:r>
        <w:t>la</w:t>
      </w:r>
      <w:r>
        <w:rPr>
          <w:spacing w:val="-4"/>
        </w:rPr>
        <w:t xml:space="preserve"> </w:t>
      </w:r>
      <w:r w:rsidR="00563EFA">
        <w:t>muy buena calidad</w:t>
      </w:r>
      <w:r>
        <w:rPr>
          <w:spacing w:val="-3"/>
        </w:rPr>
        <w:t xml:space="preserve"> </w:t>
      </w:r>
      <w:r>
        <w:t>de</w:t>
      </w:r>
      <w:r>
        <w:rPr>
          <w:spacing w:val="-4"/>
        </w:rPr>
        <w:t xml:space="preserve"> </w:t>
      </w:r>
      <w:r>
        <w:t>la</w:t>
      </w:r>
      <w:r>
        <w:rPr>
          <w:spacing w:val="-4"/>
        </w:rPr>
        <w:t xml:space="preserve"> </w:t>
      </w:r>
      <w:r>
        <w:t>mayoría</w:t>
      </w:r>
      <w:r>
        <w:rPr>
          <w:spacing w:val="-3"/>
        </w:rPr>
        <w:t xml:space="preserve"> </w:t>
      </w:r>
      <w:r>
        <w:t>de</w:t>
      </w:r>
      <w:r>
        <w:rPr>
          <w:spacing w:val="-2"/>
        </w:rPr>
        <w:t xml:space="preserve"> </w:t>
      </w:r>
      <w:r>
        <w:t>las</w:t>
      </w:r>
      <w:r>
        <w:rPr>
          <w:spacing w:val="-4"/>
        </w:rPr>
        <w:t xml:space="preserve"> </w:t>
      </w:r>
      <w:r>
        <w:t>obras</w:t>
      </w:r>
      <w:r>
        <w:rPr>
          <w:spacing w:val="-4"/>
        </w:rPr>
        <w:t xml:space="preserve"> </w:t>
      </w:r>
      <w:r>
        <w:t>que</w:t>
      </w:r>
      <w:r>
        <w:rPr>
          <w:spacing w:val="-4"/>
        </w:rPr>
        <w:t xml:space="preserve"> </w:t>
      </w:r>
      <w:r>
        <w:t>concursaron</w:t>
      </w:r>
      <w:r>
        <w:rPr>
          <w:spacing w:val="-3"/>
        </w:rPr>
        <w:t xml:space="preserve"> </w:t>
      </w:r>
      <w:r>
        <w:t>y felicitar a todos los y las participantes, suscribo la presente acta.</w:t>
      </w:r>
    </w:p>
    <w:p w:rsidR="001C78B9" w:rsidRDefault="001C78B9">
      <w:pPr>
        <w:pStyle w:val="Textoindependiente"/>
        <w:spacing w:line="256" w:lineRule="auto"/>
        <w:ind w:left="2" w:right="65"/>
      </w:pPr>
      <w:bookmarkStart w:id="0" w:name="_GoBack"/>
      <w:bookmarkEnd w:id="0"/>
    </w:p>
    <w:p w:rsidR="003E684D" w:rsidRDefault="00A12660">
      <w:pPr>
        <w:pStyle w:val="Textoindependiente"/>
        <w:spacing w:before="55"/>
        <w:rPr>
          <w:sz w:val="20"/>
        </w:rPr>
      </w:pPr>
      <w:r>
        <w:rPr>
          <w:noProof/>
          <w:sz w:val="20"/>
        </w:rPr>
        <w:drawing>
          <wp:anchor distT="0" distB="0" distL="0" distR="0" simplePos="0" relativeHeight="487587840" behindDoc="1" locked="0" layoutInCell="1" allowOverlap="1">
            <wp:simplePos x="0" y="0"/>
            <wp:positionH relativeFrom="page">
              <wp:posOffset>3023235</wp:posOffset>
            </wp:positionH>
            <wp:positionV relativeFrom="paragraph">
              <wp:posOffset>194699</wp:posOffset>
            </wp:positionV>
            <wp:extent cx="1518430" cy="81915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518430" cy="819150"/>
                    </a:xfrm>
                    <a:prstGeom prst="rect">
                      <a:avLst/>
                    </a:prstGeom>
                  </pic:spPr>
                </pic:pic>
              </a:graphicData>
            </a:graphic>
          </wp:anchor>
        </w:drawing>
      </w:r>
    </w:p>
    <w:p w:rsidR="003E684D" w:rsidRDefault="00A12660" w:rsidP="00965EE1">
      <w:pPr>
        <w:spacing w:before="20"/>
        <w:ind w:left="57" w:right="55"/>
        <w:jc w:val="center"/>
        <w:rPr>
          <w:b/>
          <w:spacing w:val="-2"/>
          <w:sz w:val="28"/>
        </w:rPr>
      </w:pPr>
      <w:r>
        <w:rPr>
          <w:b/>
          <w:sz w:val="28"/>
        </w:rPr>
        <w:t>Andrés</w:t>
      </w:r>
      <w:r>
        <w:rPr>
          <w:b/>
          <w:spacing w:val="-7"/>
          <w:sz w:val="28"/>
        </w:rPr>
        <w:t xml:space="preserve"> </w:t>
      </w:r>
      <w:proofErr w:type="spellStart"/>
      <w:r>
        <w:rPr>
          <w:b/>
          <w:sz w:val="28"/>
        </w:rPr>
        <w:t>Colmán</w:t>
      </w:r>
      <w:proofErr w:type="spellEnd"/>
      <w:r>
        <w:rPr>
          <w:b/>
          <w:spacing w:val="-5"/>
          <w:sz w:val="28"/>
        </w:rPr>
        <w:t xml:space="preserve"> </w:t>
      </w:r>
      <w:r>
        <w:rPr>
          <w:b/>
          <w:spacing w:val="-2"/>
          <w:sz w:val="28"/>
        </w:rPr>
        <w:t>Gutiérre</w:t>
      </w:r>
      <w:r w:rsidR="00965EE1">
        <w:rPr>
          <w:b/>
          <w:spacing w:val="-2"/>
          <w:sz w:val="28"/>
        </w:rPr>
        <w:t>z</w:t>
      </w:r>
    </w:p>
    <w:p w:rsidR="003E684D" w:rsidRDefault="00965EE1" w:rsidP="00965EE1">
      <w:pPr>
        <w:spacing w:before="20"/>
        <w:ind w:left="57" w:right="55"/>
        <w:jc w:val="center"/>
        <w:rPr>
          <w:b/>
          <w:sz w:val="17"/>
        </w:rPr>
      </w:pPr>
      <w:r w:rsidRPr="00965EE1">
        <w:rPr>
          <w:sz w:val="24"/>
        </w:rPr>
        <w:t>Periodista, escritor e investigador, director del medio El Otro País</w:t>
      </w:r>
      <w:r>
        <w:rPr>
          <w:sz w:val="24"/>
        </w:rPr>
        <w:t>.</w:t>
      </w:r>
    </w:p>
    <w:sectPr w:rsidR="003E684D">
      <w:pgSz w:w="11910" w:h="16840"/>
      <w:pgMar w:top="192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A160A2"/>
    <w:multiLevelType w:val="hybridMultilevel"/>
    <w:tmpl w:val="0FDA7442"/>
    <w:lvl w:ilvl="0" w:tplc="B5004636">
      <w:start w:val="1"/>
      <w:numFmt w:val="decimal"/>
      <w:lvlText w:val="%1)"/>
      <w:lvlJc w:val="left"/>
      <w:pPr>
        <w:ind w:left="362" w:hanging="360"/>
      </w:pPr>
      <w:rPr>
        <w:rFonts w:hint="default"/>
      </w:rPr>
    </w:lvl>
    <w:lvl w:ilvl="1" w:tplc="580A0019" w:tentative="1">
      <w:start w:val="1"/>
      <w:numFmt w:val="lowerLetter"/>
      <w:lvlText w:val="%2."/>
      <w:lvlJc w:val="left"/>
      <w:pPr>
        <w:ind w:left="1082" w:hanging="360"/>
      </w:pPr>
    </w:lvl>
    <w:lvl w:ilvl="2" w:tplc="580A001B" w:tentative="1">
      <w:start w:val="1"/>
      <w:numFmt w:val="lowerRoman"/>
      <w:lvlText w:val="%3."/>
      <w:lvlJc w:val="right"/>
      <w:pPr>
        <w:ind w:left="1802" w:hanging="180"/>
      </w:pPr>
    </w:lvl>
    <w:lvl w:ilvl="3" w:tplc="580A000F" w:tentative="1">
      <w:start w:val="1"/>
      <w:numFmt w:val="decimal"/>
      <w:lvlText w:val="%4."/>
      <w:lvlJc w:val="left"/>
      <w:pPr>
        <w:ind w:left="2522" w:hanging="360"/>
      </w:pPr>
    </w:lvl>
    <w:lvl w:ilvl="4" w:tplc="580A0019" w:tentative="1">
      <w:start w:val="1"/>
      <w:numFmt w:val="lowerLetter"/>
      <w:lvlText w:val="%5."/>
      <w:lvlJc w:val="left"/>
      <w:pPr>
        <w:ind w:left="3242" w:hanging="360"/>
      </w:pPr>
    </w:lvl>
    <w:lvl w:ilvl="5" w:tplc="580A001B" w:tentative="1">
      <w:start w:val="1"/>
      <w:numFmt w:val="lowerRoman"/>
      <w:lvlText w:val="%6."/>
      <w:lvlJc w:val="right"/>
      <w:pPr>
        <w:ind w:left="3962" w:hanging="180"/>
      </w:pPr>
    </w:lvl>
    <w:lvl w:ilvl="6" w:tplc="580A000F" w:tentative="1">
      <w:start w:val="1"/>
      <w:numFmt w:val="decimal"/>
      <w:lvlText w:val="%7."/>
      <w:lvlJc w:val="left"/>
      <w:pPr>
        <w:ind w:left="4682" w:hanging="360"/>
      </w:pPr>
    </w:lvl>
    <w:lvl w:ilvl="7" w:tplc="580A0019" w:tentative="1">
      <w:start w:val="1"/>
      <w:numFmt w:val="lowerLetter"/>
      <w:lvlText w:val="%8."/>
      <w:lvlJc w:val="left"/>
      <w:pPr>
        <w:ind w:left="5402" w:hanging="360"/>
      </w:pPr>
    </w:lvl>
    <w:lvl w:ilvl="8" w:tplc="580A001B" w:tentative="1">
      <w:start w:val="1"/>
      <w:numFmt w:val="lowerRoman"/>
      <w:lvlText w:val="%9."/>
      <w:lvlJc w:val="right"/>
      <w:pPr>
        <w:ind w:left="61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E684D"/>
    <w:rsid w:val="000628F2"/>
    <w:rsid w:val="00196A1D"/>
    <w:rsid w:val="001C78B9"/>
    <w:rsid w:val="001D0796"/>
    <w:rsid w:val="001D7C54"/>
    <w:rsid w:val="0020538B"/>
    <w:rsid w:val="00381224"/>
    <w:rsid w:val="003E684D"/>
    <w:rsid w:val="00563EFA"/>
    <w:rsid w:val="0057300B"/>
    <w:rsid w:val="00927D59"/>
    <w:rsid w:val="00965EE1"/>
    <w:rsid w:val="00A12660"/>
    <w:rsid w:val="00B63473"/>
    <w:rsid w:val="00C14914"/>
    <w:rsid w:val="00CB01EC"/>
    <w:rsid w:val="00CD1D15"/>
    <w:rsid w:val="00D03048"/>
    <w:rsid w:val="00D75852"/>
    <w:rsid w:val="00D929BE"/>
    <w:rsid w:val="00E95BDD"/>
    <w:rsid w:val="00FD0764"/>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AB92"/>
  <w15:docId w15:val="{E30BADDB-D8DE-4E42-910F-BDCC087F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eorgia" w:eastAsia="Georgia" w:hAnsi="Georgia" w:cs="Georgia"/>
      <w:lang w:val="es-ES"/>
    </w:rPr>
  </w:style>
  <w:style w:type="paragraph" w:styleId="Ttulo1">
    <w:name w:val="heading 1"/>
    <w:basedOn w:val="Normal"/>
    <w:uiPriority w:val="9"/>
    <w:qFormat/>
    <w:pPr>
      <w:spacing w:before="78"/>
      <w:ind w:left="57" w:right="55"/>
      <w:jc w:val="center"/>
      <w:outlineLvl w:val="0"/>
    </w:pPr>
    <w:rPr>
      <w:b/>
      <w:bCs/>
      <w:sz w:val="40"/>
      <w:szCs w:val="40"/>
    </w:rPr>
  </w:style>
  <w:style w:type="paragraph" w:styleId="Ttulo2">
    <w:name w:val="heading 2"/>
    <w:basedOn w:val="Normal"/>
    <w:uiPriority w:val="9"/>
    <w:unhideWhenUsed/>
    <w:qFormat/>
    <w:pPr>
      <w:spacing w:before="1"/>
      <w:ind w:left="54" w:right="55"/>
      <w:jc w:val="center"/>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641</Words>
  <Characters>3530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Colman</dc:creator>
  <cp:lastModifiedBy>Andres Colman</cp:lastModifiedBy>
  <cp:revision>14</cp:revision>
  <dcterms:created xsi:type="dcterms:W3CDTF">2026-05-23T13:59:00Z</dcterms:created>
  <dcterms:modified xsi:type="dcterms:W3CDTF">2026-05-24T19:02:00Z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2024-07-18T00:00:00Z</vt:filetime>
  </property>
  <property fmtid="{D5CDD505-2E9C-101B-9397-08002B2CF9AE}" pid="4" name="Creator">
    <vt:lpwstr>Microsoft® Word 2019</vt:lpwstr>
  </property>
  <property fmtid="{D5CDD505-2E9C-101B-9397-08002B2CF9AE}" pid="5" name="LastSaved">
    <vt:filetime>2026-05-23T00:00:00Z</vt:filetime>
  </property>
  <property fmtid="{D5CDD505-2E9C-101B-9397-08002B2CF9AE}" pid="6" name="Producer">
    <vt:lpwstr>Microsoft® Word 2019</vt:lpwstr>
  </property>
</Properties>
</file>